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5664" w14:textId="77777777" w:rsidR="00344225" w:rsidRPr="00533E38" w:rsidRDefault="00344225" w:rsidP="00344225">
      <w:pPr>
        <w:ind w:leftChars="-65" w:left="-142" w:hanging="1"/>
        <w:jc w:val="center"/>
        <w:rPr>
          <w:rFonts w:hint="eastAsia"/>
          <w:b/>
          <w:bCs/>
          <w:sz w:val="44"/>
          <w:szCs w:val="44"/>
        </w:rPr>
      </w:pPr>
      <w:r w:rsidRPr="00533E38">
        <w:rPr>
          <w:rFonts w:hint="eastAsia"/>
          <w:b/>
          <w:bCs/>
          <w:sz w:val="44"/>
          <w:szCs w:val="44"/>
        </w:rPr>
        <w:t>2024校园招聘研究报告</w:t>
      </w:r>
    </w:p>
    <w:p w14:paraId="6DD01B48" w14:textId="77777777" w:rsidR="00344225" w:rsidRPr="00344225" w:rsidRDefault="00344225" w:rsidP="00344225">
      <w:pPr>
        <w:rPr>
          <w:rFonts w:hint="eastAsia"/>
          <w:b/>
          <w:bCs/>
          <w:sz w:val="24"/>
        </w:rPr>
      </w:pPr>
      <w:r w:rsidRPr="00344225">
        <w:rPr>
          <w:rFonts w:hint="eastAsia"/>
          <w:b/>
          <w:bCs/>
          <w:sz w:val="24"/>
        </w:rPr>
        <w:t>一、引言</w:t>
      </w:r>
    </w:p>
    <w:p w14:paraId="7C4E6D52" w14:textId="5EC8CF03" w:rsidR="00344225" w:rsidRDefault="00344225" w:rsidP="009C5C44">
      <w:pPr>
        <w:ind w:firstLineChars="300" w:firstLine="720"/>
        <w:rPr>
          <w:sz w:val="24"/>
        </w:rPr>
      </w:pPr>
      <w:r w:rsidRPr="00344225">
        <w:rPr>
          <w:rFonts w:hint="eastAsia"/>
          <w:sz w:val="24"/>
        </w:rPr>
        <w:t>随着2024年的到来，全国普通高校毕业生规模预计将达到1179万，同比增加21万，再创历史新高。这一庞大的毕业生群体将涌入就业市场，给校园招聘带来前所未有的挑战与机遇。本报告基于猎聘、智联招聘、牛客等多家权威机构的数据，结合最新的行业趋势与招聘动态，全面分析2024年校园招聘的现状、挑战及未来趋势，旨在为高校、学生及雇主提供有价值的参考。</w:t>
      </w:r>
    </w:p>
    <w:p w14:paraId="28AAB299" w14:textId="0835AC7D" w:rsidR="009C5C44" w:rsidRPr="00344225" w:rsidRDefault="009C5C44" w:rsidP="00344225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0E26E379" wp14:editId="4B0D9FA4">
            <wp:extent cx="6301105" cy="2697480"/>
            <wp:effectExtent l="0" t="0" r="4445" b="7620"/>
            <wp:docPr id="848248099" name="图片 2" descr="图形用户界面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48099" name="图片 2" descr="图形用户界面, 文本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DB92" w14:textId="77777777" w:rsidR="00344225" w:rsidRPr="00344225" w:rsidRDefault="00344225" w:rsidP="00344225">
      <w:pPr>
        <w:rPr>
          <w:rFonts w:hint="eastAsia"/>
          <w:b/>
          <w:bCs/>
          <w:sz w:val="24"/>
        </w:rPr>
      </w:pPr>
      <w:r w:rsidRPr="00344225">
        <w:rPr>
          <w:rFonts w:hint="eastAsia"/>
          <w:b/>
          <w:bCs/>
          <w:sz w:val="24"/>
        </w:rPr>
        <w:t>二、数据分析</w:t>
      </w:r>
    </w:p>
    <w:p w14:paraId="062868C1" w14:textId="77777777" w:rsidR="00344225" w:rsidRPr="00344225" w:rsidRDefault="00344225" w:rsidP="00344225">
      <w:pPr>
        <w:rPr>
          <w:rFonts w:hint="eastAsia"/>
          <w:b/>
          <w:bCs/>
          <w:sz w:val="24"/>
        </w:rPr>
      </w:pPr>
      <w:r w:rsidRPr="00344225">
        <w:rPr>
          <w:rFonts w:hint="eastAsia"/>
          <w:b/>
          <w:bCs/>
          <w:sz w:val="24"/>
        </w:rPr>
        <w:t>1. 毕业生规模与求职意愿</w:t>
      </w:r>
    </w:p>
    <w:p w14:paraId="57475920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毕业生规模：2024年全国普通高校毕业生预计达1179万，同比增加21万。其中，211/985高校毕业生达106.6万。</w:t>
      </w:r>
    </w:p>
    <w:p w14:paraId="6733167C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求职目标明确度：调研显示，63.7%的2024届高校毕业生求职目标明确，相较于2023届略有上升（从33.94%至36.26%）。双一流高校、理工类及硕博毕业生群体求职目标明确度更高。</w:t>
      </w:r>
    </w:p>
    <w:p w14:paraId="2DF28889" w14:textId="77777777" w:rsidR="00344225" w:rsidRPr="00344225" w:rsidRDefault="00344225" w:rsidP="00344225">
      <w:pPr>
        <w:rPr>
          <w:rFonts w:hint="eastAsia"/>
          <w:b/>
          <w:bCs/>
          <w:sz w:val="24"/>
        </w:rPr>
      </w:pPr>
      <w:r w:rsidRPr="00344225">
        <w:rPr>
          <w:rFonts w:hint="eastAsia"/>
          <w:b/>
          <w:bCs/>
          <w:sz w:val="24"/>
        </w:rPr>
        <w:t>2. 招聘需求与趋势</w:t>
      </w:r>
    </w:p>
    <w:p w14:paraId="4C6CC26A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lastRenderedPageBreak/>
        <w:t>行业需求：IT/互联网/游戏行业毕业生需求旺盛，持续位居各行业之首，释放20%-25%的毕业生职位需求。制造业对毕业生需求稳中有升，特别是整车制造、家具/家居、家电等行业。</w:t>
      </w:r>
    </w:p>
    <w:p w14:paraId="036B43C3" w14:textId="77777777" w:rsid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学历需求：近三年新发校招职位中，硕博人才需求占比持续增长，硕士人才需求从9.1%增加到14.8%，博士人才需求从0.6%增加到1.8%。新赛道、发展新质生产力相关行业对硕博人才需求尤为迫切。</w:t>
      </w:r>
    </w:p>
    <w:p w14:paraId="45134EDB" w14:textId="77777777" w:rsidR="00344225" w:rsidRPr="00344225" w:rsidRDefault="00344225" w:rsidP="00344225">
      <w:pPr>
        <w:rPr>
          <w:rFonts w:hint="eastAsia"/>
          <w:b/>
          <w:bCs/>
          <w:sz w:val="24"/>
        </w:rPr>
      </w:pPr>
      <w:r w:rsidRPr="00344225">
        <w:rPr>
          <w:rFonts w:hint="eastAsia"/>
          <w:b/>
          <w:bCs/>
          <w:sz w:val="24"/>
        </w:rPr>
        <w:t>3. 毕业生求职偏好</w:t>
      </w:r>
    </w:p>
    <w:p w14:paraId="10C4F82F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企业类型偏好：2024届毕业生最想去的企业类型是央/国企，占比48.04%；其次是政府机关/事业单位，占比20.55%。</w:t>
      </w:r>
    </w:p>
    <w:p w14:paraId="6F71E7A2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岗位类型偏好：毕业生最理想的岗位类型是公职类，占比44.11%。IT、通信、电子、互联网等行业也备受青睐。</w:t>
      </w:r>
    </w:p>
    <w:p w14:paraId="7FD01368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关键因素：薪资福利、稳定性及安全感、通勤距离是毕业生择业的三大关键因素。相较于往年，毕业生更加关注企业前景和个人发展。</w:t>
      </w:r>
    </w:p>
    <w:p w14:paraId="6C8569CD" w14:textId="77777777" w:rsidR="00344225" w:rsidRPr="00344225" w:rsidRDefault="00344225" w:rsidP="00344225">
      <w:pPr>
        <w:rPr>
          <w:rFonts w:hint="eastAsia"/>
          <w:b/>
          <w:bCs/>
          <w:sz w:val="24"/>
        </w:rPr>
      </w:pPr>
      <w:r w:rsidRPr="00344225">
        <w:rPr>
          <w:rFonts w:hint="eastAsia"/>
          <w:b/>
          <w:bCs/>
          <w:sz w:val="24"/>
        </w:rPr>
        <w:t>4. 招聘策略与方式</w:t>
      </w:r>
    </w:p>
    <w:p w14:paraId="5538C266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多样化招聘策略：传统校园招聘和求职平台仍是主要渠道，但线下招聘会、社交媒体招聘和内部推荐等方式逐渐兴起。</w:t>
      </w:r>
    </w:p>
    <w:p w14:paraId="7D86B6AA" w14:textId="77777777" w:rsidR="00344225" w:rsidRDefault="00344225" w:rsidP="00344225">
      <w:pPr>
        <w:rPr>
          <w:sz w:val="24"/>
        </w:rPr>
      </w:pPr>
      <w:r w:rsidRPr="00344225">
        <w:rPr>
          <w:rFonts w:hint="eastAsia"/>
          <w:sz w:val="24"/>
        </w:rPr>
        <w:t>AI技术应用：在简历筛选和面试环节，AI技术应用占比分别高达58.2%和44.2%，提供高效公平的招聘体验。</w:t>
      </w:r>
    </w:p>
    <w:p w14:paraId="21999A53" w14:textId="77777777" w:rsidR="009C5C44" w:rsidRDefault="009C5C44" w:rsidP="00344225">
      <w:pPr>
        <w:rPr>
          <w:sz w:val="24"/>
        </w:rPr>
      </w:pPr>
    </w:p>
    <w:p w14:paraId="5D4E8CF3" w14:textId="77777777" w:rsidR="009C5C44" w:rsidRPr="00344225" w:rsidRDefault="009C5C44" w:rsidP="00344225">
      <w:pPr>
        <w:rPr>
          <w:rFonts w:hint="eastAsia"/>
          <w:sz w:val="24"/>
        </w:rPr>
      </w:pPr>
    </w:p>
    <w:p w14:paraId="341AA260" w14:textId="77777777" w:rsidR="00344225" w:rsidRPr="001A42B7" w:rsidRDefault="00344225" w:rsidP="00344225">
      <w:pPr>
        <w:rPr>
          <w:rFonts w:hint="eastAsia"/>
          <w:b/>
          <w:bCs/>
          <w:sz w:val="24"/>
        </w:rPr>
      </w:pPr>
      <w:r w:rsidRPr="001A42B7">
        <w:rPr>
          <w:rFonts w:hint="eastAsia"/>
          <w:b/>
          <w:bCs/>
          <w:sz w:val="24"/>
        </w:rPr>
        <w:t>三、图表展示</w:t>
      </w:r>
    </w:p>
    <w:p w14:paraId="7CD41836" w14:textId="77777777" w:rsidR="00344225" w:rsidRPr="00533E38" w:rsidRDefault="00344225" w:rsidP="00344225">
      <w:pPr>
        <w:rPr>
          <w:rFonts w:hint="eastAsia"/>
          <w:b/>
          <w:bCs/>
          <w:sz w:val="24"/>
        </w:rPr>
      </w:pPr>
      <w:r w:rsidRPr="00533E38">
        <w:rPr>
          <w:rFonts w:hint="eastAsia"/>
          <w:b/>
          <w:bCs/>
          <w:sz w:val="24"/>
        </w:rPr>
        <w:lastRenderedPageBreak/>
        <w:t>图表1：2024届毕业生求职目标明确度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03"/>
        <w:gridCol w:w="3305"/>
        <w:gridCol w:w="3305"/>
      </w:tblGrid>
      <w:tr w:rsidR="0006275B" w14:paraId="2B647D6B" w14:textId="77777777" w:rsidTr="0006275B">
        <w:trPr>
          <w:trHeight w:val="528"/>
        </w:trPr>
        <w:tc>
          <w:tcPr>
            <w:tcW w:w="1666" w:type="pct"/>
            <w:shd w:val="clear" w:color="auto" w:fill="45B0E1" w:themeFill="accent1" w:themeFillTint="99"/>
            <w:vAlign w:val="center"/>
          </w:tcPr>
          <w:p w14:paraId="4DEAE953" w14:textId="110C4A3E" w:rsidR="0006275B" w:rsidRPr="00533E38" w:rsidRDefault="0006275B" w:rsidP="0006275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hint="eastAsia"/>
                <w:b/>
                <w:bCs/>
              </w:rPr>
              <w:t>年份</w:t>
            </w:r>
          </w:p>
        </w:tc>
        <w:tc>
          <w:tcPr>
            <w:tcW w:w="1667" w:type="pct"/>
            <w:shd w:val="clear" w:color="auto" w:fill="45B0E1" w:themeFill="accent1" w:themeFillTint="99"/>
            <w:vAlign w:val="center"/>
          </w:tcPr>
          <w:p w14:paraId="4805E5B3" w14:textId="1F88DC1B" w:rsidR="0006275B" w:rsidRPr="00533E38" w:rsidRDefault="0006275B" w:rsidP="0006275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hint="eastAsia"/>
                <w:b/>
                <w:bCs/>
              </w:rPr>
              <w:t>求职目标明确（%）</w:t>
            </w:r>
          </w:p>
        </w:tc>
        <w:tc>
          <w:tcPr>
            <w:tcW w:w="1667" w:type="pct"/>
            <w:shd w:val="clear" w:color="auto" w:fill="45B0E1" w:themeFill="accent1" w:themeFillTint="99"/>
            <w:vAlign w:val="center"/>
          </w:tcPr>
          <w:p w14:paraId="2549E7FC" w14:textId="6070B865" w:rsidR="0006275B" w:rsidRPr="00533E38" w:rsidRDefault="0006275B" w:rsidP="0006275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hint="eastAsia"/>
                <w:b/>
                <w:bCs/>
              </w:rPr>
              <w:t>不明确或迷茫（%）</w:t>
            </w:r>
          </w:p>
        </w:tc>
      </w:tr>
      <w:tr w:rsidR="0006275B" w14:paraId="46BB133C" w14:textId="77777777" w:rsidTr="0006275B">
        <w:trPr>
          <w:trHeight w:val="528"/>
        </w:trPr>
        <w:tc>
          <w:tcPr>
            <w:tcW w:w="1666" w:type="pct"/>
            <w:vAlign w:val="center"/>
          </w:tcPr>
          <w:p w14:paraId="492C4C4F" w14:textId="667D4978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023</w:t>
            </w:r>
          </w:p>
        </w:tc>
        <w:tc>
          <w:tcPr>
            <w:tcW w:w="1667" w:type="pct"/>
            <w:vAlign w:val="center"/>
          </w:tcPr>
          <w:p w14:paraId="437855C1" w14:textId="6F787B8C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66.06</w:t>
            </w:r>
          </w:p>
        </w:tc>
        <w:tc>
          <w:tcPr>
            <w:tcW w:w="1667" w:type="pct"/>
            <w:vAlign w:val="center"/>
          </w:tcPr>
          <w:p w14:paraId="7A7EABE5" w14:textId="7C28ACD5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33.94</w:t>
            </w:r>
          </w:p>
        </w:tc>
      </w:tr>
      <w:tr w:rsidR="0006275B" w14:paraId="63E3C058" w14:textId="77777777" w:rsidTr="0006275B">
        <w:trPr>
          <w:trHeight w:val="528"/>
        </w:trPr>
        <w:tc>
          <w:tcPr>
            <w:tcW w:w="1666" w:type="pct"/>
            <w:vAlign w:val="center"/>
          </w:tcPr>
          <w:p w14:paraId="11DDCBC0" w14:textId="3F7B54B3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2024</w:t>
            </w:r>
          </w:p>
        </w:tc>
        <w:tc>
          <w:tcPr>
            <w:tcW w:w="1667" w:type="pct"/>
            <w:vAlign w:val="center"/>
          </w:tcPr>
          <w:p w14:paraId="04DE4E42" w14:textId="796D3176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63.7</w:t>
            </w:r>
          </w:p>
        </w:tc>
        <w:tc>
          <w:tcPr>
            <w:tcW w:w="1667" w:type="pct"/>
            <w:vAlign w:val="center"/>
          </w:tcPr>
          <w:p w14:paraId="5F6CF4B8" w14:textId="6D0F8549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36.26</w:t>
            </w:r>
          </w:p>
        </w:tc>
      </w:tr>
    </w:tbl>
    <w:p w14:paraId="32A1A4D9" w14:textId="4352B3B4" w:rsidR="00344225" w:rsidRPr="00533E38" w:rsidRDefault="00344225" w:rsidP="00344225">
      <w:pPr>
        <w:rPr>
          <w:rFonts w:hint="eastAsia"/>
          <w:b/>
          <w:bCs/>
          <w:sz w:val="24"/>
        </w:rPr>
      </w:pPr>
      <w:r w:rsidRPr="00533E38">
        <w:rPr>
          <w:rFonts w:hint="eastAsia"/>
          <w:b/>
          <w:bCs/>
          <w:sz w:val="24"/>
        </w:rPr>
        <w:t>图表2：不同学历需求变化趋势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299"/>
      </w:tblGrid>
      <w:tr w:rsidR="0006275B" w14:paraId="384B2A12" w14:textId="77777777" w:rsidTr="0006275B">
        <w:trPr>
          <w:trHeight w:val="628"/>
          <w:jc w:val="center"/>
        </w:trPr>
        <w:tc>
          <w:tcPr>
            <w:tcW w:w="2539" w:type="dxa"/>
            <w:shd w:val="clear" w:color="auto" w:fill="45B0E1" w:themeFill="accent1" w:themeFillTint="99"/>
            <w:vAlign w:val="center"/>
          </w:tcPr>
          <w:p w14:paraId="7B4F2957" w14:textId="76DF101E" w:rsidR="0006275B" w:rsidRPr="00533E38" w:rsidRDefault="0006275B" w:rsidP="0006275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学历</w:t>
            </w:r>
          </w:p>
        </w:tc>
        <w:tc>
          <w:tcPr>
            <w:tcW w:w="2540" w:type="dxa"/>
            <w:shd w:val="clear" w:color="auto" w:fill="45B0E1" w:themeFill="accent1" w:themeFillTint="99"/>
            <w:vAlign w:val="center"/>
          </w:tcPr>
          <w:p w14:paraId="26F1F6FB" w14:textId="667A4EA6" w:rsidR="0006275B" w:rsidRPr="00533E38" w:rsidRDefault="0006275B" w:rsidP="0006275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2021</w:t>
            </w: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年需求占比</w:t>
            </w:r>
          </w:p>
        </w:tc>
        <w:tc>
          <w:tcPr>
            <w:tcW w:w="2540" w:type="dxa"/>
            <w:shd w:val="clear" w:color="auto" w:fill="45B0E1" w:themeFill="accent1" w:themeFillTint="99"/>
            <w:vAlign w:val="center"/>
          </w:tcPr>
          <w:p w14:paraId="2B9CB5DB" w14:textId="7D282AF7" w:rsidR="0006275B" w:rsidRPr="00533E38" w:rsidRDefault="0006275B" w:rsidP="0006275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2022</w:t>
            </w: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年需求占比</w:t>
            </w:r>
          </w:p>
        </w:tc>
        <w:tc>
          <w:tcPr>
            <w:tcW w:w="2299" w:type="dxa"/>
            <w:shd w:val="clear" w:color="auto" w:fill="45B0E1" w:themeFill="accent1" w:themeFillTint="99"/>
            <w:vAlign w:val="center"/>
          </w:tcPr>
          <w:p w14:paraId="35F94EA7" w14:textId="09053ED1" w:rsidR="0006275B" w:rsidRPr="00533E38" w:rsidRDefault="0006275B" w:rsidP="0006275B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2023</w:t>
            </w: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年需求占比</w:t>
            </w:r>
          </w:p>
        </w:tc>
      </w:tr>
      <w:tr w:rsidR="0006275B" w14:paraId="531180E3" w14:textId="77777777" w:rsidTr="0006275B">
        <w:trPr>
          <w:trHeight w:val="628"/>
          <w:jc w:val="center"/>
        </w:trPr>
        <w:tc>
          <w:tcPr>
            <w:tcW w:w="2539" w:type="dxa"/>
            <w:vAlign w:val="center"/>
          </w:tcPr>
          <w:p w14:paraId="3699C05E" w14:textId="29479FC9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硕士</w:t>
            </w:r>
          </w:p>
        </w:tc>
        <w:tc>
          <w:tcPr>
            <w:tcW w:w="2540" w:type="dxa"/>
            <w:vAlign w:val="center"/>
          </w:tcPr>
          <w:p w14:paraId="4375A918" w14:textId="3BC99CEA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9.1%</w:t>
            </w:r>
          </w:p>
        </w:tc>
        <w:tc>
          <w:tcPr>
            <w:tcW w:w="2540" w:type="dxa"/>
            <w:vAlign w:val="center"/>
          </w:tcPr>
          <w:p w14:paraId="13E4DA7C" w14:textId="40958E01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11.5%</w:t>
            </w:r>
          </w:p>
        </w:tc>
        <w:tc>
          <w:tcPr>
            <w:tcW w:w="2299" w:type="dxa"/>
            <w:vAlign w:val="center"/>
          </w:tcPr>
          <w:p w14:paraId="4D9E7594" w14:textId="4475A3C4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14.8%</w:t>
            </w:r>
          </w:p>
        </w:tc>
      </w:tr>
      <w:tr w:rsidR="0006275B" w14:paraId="381E5523" w14:textId="77777777" w:rsidTr="0006275B">
        <w:trPr>
          <w:trHeight w:val="628"/>
          <w:jc w:val="center"/>
        </w:trPr>
        <w:tc>
          <w:tcPr>
            <w:tcW w:w="2539" w:type="dxa"/>
            <w:vAlign w:val="center"/>
          </w:tcPr>
          <w:p w14:paraId="618A614D" w14:textId="70186327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博士</w:t>
            </w:r>
          </w:p>
        </w:tc>
        <w:tc>
          <w:tcPr>
            <w:tcW w:w="2540" w:type="dxa"/>
            <w:vAlign w:val="center"/>
          </w:tcPr>
          <w:p w14:paraId="14C3A2D6" w14:textId="72A0BDE9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0.6%</w:t>
            </w:r>
          </w:p>
        </w:tc>
        <w:tc>
          <w:tcPr>
            <w:tcW w:w="2540" w:type="dxa"/>
            <w:vAlign w:val="center"/>
          </w:tcPr>
          <w:p w14:paraId="304AB9BE" w14:textId="1BA27F78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1.0%</w:t>
            </w:r>
          </w:p>
        </w:tc>
        <w:tc>
          <w:tcPr>
            <w:tcW w:w="2299" w:type="dxa"/>
            <w:vAlign w:val="center"/>
          </w:tcPr>
          <w:p w14:paraId="3DC48B3C" w14:textId="4400E0C1" w:rsidR="0006275B" w:rsidRDefault="0006275B" w:rsidP="0006275B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1.8%</w:t>
            </w:r>
          </w:p>
        </w:tc>
      </w:tr>
    </w:tbl>
    <w:p w14:paraId="28EB276E" w14:textId="77777777" w:rsidR="00344225" w:rsidRPr="00533E38" w:rsidRDefault="00344225" w:rsidP="00344225">
      <w:pPr>
        <w:rPr>
          <w:rFonts w:hint="eastAsia"/>
          <w:b/>
          <w:bCs/>
          <w:sz w:val="24"/>
        </w:rPr>
      </w:pPr>
      <w:r w:rsidRPr="00533E38">
        <w:rPr>
          <w:rFonts w:hint="eastAsia"/>
          <w:b/>
          <w:bCs/>
          <w:sz w:val="24"/>
        </w:rPr>
        <w:t>图表3：毕业生求职偏好企业类型</w:t>
      </w:r>
    </w:p>
    <w:tbl>
      <w:tblPr>
        <w:tblStyle w:val="af"/>
        <w:tblW w:w="9779" w:type="dxa"/>
        <w:tblLook w:val="04A0" w:firstRow="1" w:lastRow="0" w:firstColumn="1" w:lastColumn="0" w:noHBand="0" w:noVBand="1"/>
      </w:tblPr>
      <w:tblGrid>
        <w:gridCol w:w="6168"/>
        <w:gridCol w:w="3611"/>
      </w:tblGrid>
      <w:tr w:rsidR="00533E38" w14:paraId="1EC5E5EE" w14:textId="77777777" w:rsidTr="00533E38">
        <w:trPr>
          <w:trHeight w:val="518"/>
        </w:trPr>
        <w:tc>
          <w:tcPr>
            <w:tcW w:w="0" w:type="auto"/>
            <w:shd w:val="clear" w:color="auto" w:fill="45B0E1" w:themeFill="accent1" w:themeFillTint="99"/>
            <w:vAlign w:val="center"/>
          </w:tcPr>
          <w:p w14:paraId="2D189D03" w14:textId="25699F55" w:rsidR="00533E38" w:rsidRPr="00533E38" w:rsidRDefault="00533E38" w:rsidP="00533E3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hint="eastAsia"/>
                <w:b/>
                <w:bCs/>
              </w:rPr>
              <w:t>企业类型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244C50D6" w14:textId="601247BC" w:rsidR="00533E38" w:rsidRPr="00533E38" w:rsidRDefault="00533E38" w:rsidP="00533E3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hint="eastAsia"/>
                <w:b/>
                <w:bCs/>
              </w:rPr>
              <w:t>占比（%）</w:t>
            </w:r>
          </w:p>
        </w:tc>
      </w:tr>
      <w:tr w:rsidR="00533E38" w14:paraId="3B4002E9" w14:textId="77777777" w:rsidTr="00533E38">
        <w:trPr>
          <w:trHeight w:val="545"/>
        </w:trPr>
        <w:tc>
          <w:tcPr>
            <w:tcW w:w="0" w:type="auto"/>
            <w:vAlign w:val="center"/>
          </w:tcPr>
          <w:p w14:paraId="29129A2D" w14:textId="3856D88E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0864AD">
              <w:rPr>
                <w:rFonts w:hint="eastAsia"/>
              </w:rPr>
              <w:t>央/国企</w:t>
            </w:r>
          </w:p>
        </w:tc>
        <w:tc>
          <w:tcPr>
            <w:tcW w:w="0" w:type="auto"/>
            <w:vAlign w:val="center"/>
          </w:tcPr>
          <w:p w14:paraId="49B18B76" w14:textId="76BE9095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0864AD">
              <w:rPr>
                <w:rFonts w:hint="eastAsia"/>
              </w:rPr>
              <w:t>48.04</w:t>
            </w:r>
          </w:p>
        </w:tc>
      </w:tr>
      <w:tr w:rsidR="00533E38" w14:paraId="078DBD29" w14:textId="77777777" w:rsidTr="00533E38">
        <w:trPr>
          <w:trHeight w:val="518"/>
        </w:trPr>
        <w:tc>
          <w:tcPr>
            <w:tcW w:w="0" w:type="auto"/>
            <w:vAlign w:val="center"/>
          </w:tcPr>
          <w:p w14:paraId="21BC84B4" w14:textId="07BD8B89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0864AD">
              <w:rPr>
                <w:rFonts w:hint="eastAsia"/>
              </w:rPr>
              <w:t>政府机关/事业单位</w:t>
            </w:r>
          </w:p>
        </w:tc>
        <w:tc>
          <w:tcPr>
            <w:tcW w:w="0" w:type="auto"/>
            <w:vAlign w:val="center"/>
          </w:tcPr>
          <w:p w14:paraId="583BC1FC" w14:textId="0D9EAD5C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0864AD">
              <w:rPr>
                <w:rFonts w:hint="eastAsia"/>
              </w:rPr>
              <w:t>20.55</w:t>
            </w:r>
          </w:p>
        </w:tc>
      </w:tr>
      <w:tr w:rsidR="00533E38" w14:paraId="732FCF09" w14:textId="77777777" w:rsidTr="00533E38">
        <w:trPr>
          <w:trHeight w:val="545"/>
        </w:trPr>
        <w:tc>
          <w:tcPr>
            <w:tcW w:w="0" w:type="auto"/>
            <w:vAlign w:val="center"/>
          </w:tcPr>
          <w:p w14:paraId="639E94DA" w14:textId="1B6D6ACE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0864AD">
              <w:rPr>
                <w:rFonts w:hint="eastAsia"/>
              </w:rPr>
              <w:t>上市公司</w:t>
            </w:r>
          </w:p>
        </w:tc>
        <w:tc>
          <w:tcPr>
            <w:tcW w:w="0" w:type="auto"/>
            <w:vAlign w:val="center"/>
          </w:tcPr>
          <w:p w14:paraId="55C1498F" w14:textId="4FA72625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0864AD">
              <w:rPr>
                <w:rFonts w:hint="eastAsia"/>
              </w:rPr>
              <w:t>18.33</w:t>
            </w:r>
          </w:p>
        </w:tc>
      </w:tr>
      <w:tr w:rsidR="00533E38" w14:paraId="138971A2" w14:textId="77777777" w:rsidTr="00533E38">
        <w:trPr>
          <w:trHeight w:val="518"/>
        </w:trPr>
        <w:tc>
          <w:tcPr>
            <w:tcW w:w="0" w:type="auto"/>
            <w:vAlign w:val="center"/>
          </w:tcPr>
          <w:p w14:paraId="0C266F2E" w14:textId="5A6F33F4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0864AD">
              <w:rPr>
                <w:rFonts w:hint="eastAsia"/>
              </w:rPr>
              <w:t>民营企业</w:t>
            </w:r>
          </w:p>
        </w:tc>
        <w:tc>
          <w:tcPr>
            <w:tcW w:w="0" w:type="auto"/>
            <w:vAlign w:val="center"/>
          </w:tcPr>
          <w:p w14:paraId="3983E232" w14:textId="772901A9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0864AD">
              <w:rPr>
                <w:rFonts w:hint="eastAsia"/>
              </w:rPr>
              <w:t>13.08</w:t>
            </w:r>
          </w:p>
        </w:tc>
      </w:tr>
    </w:tbl>
    <w:p w14:paraId="43F2275B" w14:textId="77777777" w:rsidR="00344225" w:rsidRPr="00533E38" w:rsidRDefault="00344225" w:rsidP="00344225">
      <w:pPr>
        <w:rPr>
          <w:rFonts w:hint="eastAsia"/>
          <w:b/>
          <w:bCs/>
          <w:sz w:val="24"/>
        </w:rPr>
      </w:pPr>
      <w:r w:rsidRPr="00533E38">
        <w:rPr>
          <w:rFonts w:hint="eastAsia"/>
          <w:b/>
          <w:bCs/>
          <w:sz w:val="24"/>
        </w:rPr>
        <w:t>图表4：毕业生期望岗位类型</w:t>
      </w:r>
    </w:p>
    <w:tbl>
      <w:tblPr>
        <w:tblStyle w:val="af"/>
        <w:tblW w:w="9779" w:type="dxa"/>
        <w:tblLook w:val="04A0" w:firstRow="1" w:lastRow="0" w:firstColumn="1" w:lastColumn="0" w:noHBand="0" w:noVBand="1"/>
      </w:tblPr>
      <w:tblGrid>
        <w:gridCol w:w="5598"/>
        <w:gridCol w:w="4181"/>
      </w:tblGrid>
      <w:tr w:rsidR="00533E38" w14:paraId="0B0A3A41" w14:textId="77777777" w:rsidTr="00533E38">
        <w:trPr>
          <w:trHeight w:val="518"/>
        </w:trPr>
        <w:tc>
          <w:tcPr>
            <w:tcW w:w="0" w:type="auto"/>
            <w:shd w:val="clear" w:color="auto" w:fill="45B0E1" w:themeFill="accent1" w:themeFillTint="99"/>
            <w:vAlign w:val="center"/>
          </w:tcPr>
          <w:p w14:paraId="77D67020" w14:textId="007989C6" w:rsidR="00533E38" w:rsidRPr="00533E38" w:rsidRDefault="00533E38" w:rsidP="00533E3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岗位类型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78986FE9" w14:textId="150CB15F" w:rsidR="00533E38" w:rsidRPr="00533E38" w:rsidRDefault="00533E38" w:rsidP="00533E3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占比（</w:t>
            </w: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%</w:t>
            </w:r>
            <w:r w:rsidRPr="00533E38">
              <w:rPr>
                <w:rFonts w:ascii="PingFangSC-Medium" w:hAnsi="PingFangSC-Medium" w:cs="Segoe UI"/>
                <w:b/>
                <w:bCs/>
                <w:color w:val="001846"/>
                <w:sz w:val="23"/>
                <w:szCs w:val="23"/>
              </w:rPr>
              <w:t>）</w:t>
            </w:r>
          </w:p>
        </w:tc>
      </w:tr>
      <w:tr w:rsidR="00533E38" w14:paraId="03845900" w14:textId="77777777" w:rsidTr="00533E38">
        <w:trPr>
          <w:trHeight w:val="545"/>
        </w:trPr>
        <w:tc>
          <w:tcPr>
            <w:tcW w:w="0" w:type="auto"/>
            <w:shd w:val="clear" w:color="auto" w:fill="FDFDFE"/>
            <w:vAlign w:val="center"/>
          </w:tcPr>
          <w:p w14:paraId="226985CA" w14:textId="67926DA9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公职类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453E565F" w14:textId="62495B02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44.11</w:t>
            </w:r>
          </w:p>
        </w:tc>
      </w:tr>
      <w:tr w:rsidR="00533E38" w14:paraId="54529DEE" w14:textId="77777777" w:rsidTr="00533E38">
        <w:trPr>
          <w:trHeight w:val="518"/>
        </w:trPr>
        <w:tc>
          <w:tcPr>
            <w:tcW w:w="0" w:type="auto"/>
            <w:shd w:val="clear" w:color="auto" w:fill="FDFDFE"/>
            <w:vAlign w:val="center"/>
          </w:tcPr>
          <w:p w14:paraId="07570A5A" w14:textId="20C9CE7F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技术类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3134DEC3" w14:textId="1D73D1FB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24.2</w:t>
            </w:r>
          </w:p>
        </w:tc>
      </w:tr>
      <w:tr w:rsidR="00533E38" w14:paraId="6210EE9C" w14:textId="77777777" w:rsidTr="00533E38">
        <w:trPr>
          <w:trHeight w:val="545"/>
        </w:trPr>
        <w:tc>
          <w:tcPr>
            <w:tcW w:w="0" w:type="auto"/>
            <w:shd w:val="clear" w:color="auto" w:fill="FDFDFE"/>
            <w:vAlign w:val="center"/>
          </w:tcPr>
          <w:p w14:paraId="00818B0E" w14:textId="04ABCC85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行政</w:t>
            </w: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/</w:t>
            </w: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后勤</w:t>
            </w: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/</w:t>
            </w: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文秘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04C05887" w14:textId="00B5FA14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16</w:t>
            </w:r>
          </w:p>
        </w:tc>
      </w:tr>
      <w:tr w:rsidR="00533E38" w14:paraId="2CBF77A8" w14:textId="77777777" w:rsidTr="00533E38">
        <w:trPr>
          <w:trHeight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DFE"/>
            <w:vAlign w:val="center"/>
          </w:tcPr>
          <w:p w14:paraId="3E9ECB85" w14:textId="348DE9BF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财务</w:t>
            </w: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/</w:t>
            </w: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审计</w:t>
            </w: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/</w:t>
            </w: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税务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6CF276AB" w14:textId="7FE3D05E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PingFangSC-Regular" w:hAnsi="PingFangSC-Regular" w:cs="Segoe UI"/>
                <w:color w:val="120649"/>
                <w:sz w:val="23"/>
                <w:szCs w:val="23"/>
              </w:rPr>
              <w:t>10.9</w:t>
            </w:r>
          </w:p>
        </w:tc>
      </w:tr>
    </w:tbl>
    <w:p w14:paraId="04DF797B" w14:textId="77777777" w:rsidR="009C5C44" w:rsidRDefault="009C5C44" w:rsidP="00344225">
      <w:pPr>
        <w:rPr>
          <w:b/>
          <w:bCs/>
          <w:sz w:val="24"/>
        </w:rPr>
      </w:pPr>
    </w:p>
    <w:p w14:paraId="2C86C291" w14:textId="77777777" w:rsidR="009C5C44" w:rsidRDefault="009C5C44" w:rsidP="00344225">
      <w:pPr>
        <w:rPr>
          <w:b/>
          <w:bCs/>
          <w:sz w:val="24"/>
        </w:rPr>
      </w:pPr>
    </w:p>
    <w:p w14:paraId="7771E070" w14:textId="77777777" w:rsidR="00F76CF4" w:rsidRDefault="00F76CF4" w:rsidP="00344225">
      <w:pPr>
        <w:rPr>
          <w:rFonts w:hint="eastAsia"/>
          <w:b/>
          <w:bCs/>
          <w:sz w:val="24"/>
        </w:rPr>
      </w:pPr>
    </w:p>
    <w:p w14:paraId="230C8611" w14:textId="0C441FDB" w:rsidR="00344225" w:rsidRPr="00533E38" w:rsidRDefault="00344225" w:rsidP="00344225">
      <w:pPr>
        <w:rPr>
          <w:rFonts w:hint="eastAsia"/>
          <w:b/>
          <w:bCs/>
          <w:sz w:val="24"/>
        </w:rPr>
      </w:pPr>
      <w:r w:rsidRPr="00533E38">
        <w:rPr>
          <w:rFonts w:hint="eastAsia"/>
          <w:b/>
          <w:bCs/>
          <w:sz w:val="24"/>
        </w:rPr>
        <w:lastRenderedPageBreak/>
        <w:t>四、结论与展望</w:t>
      </w:r>
    </w:p>
    <w:p w14:paraId="327FEDE1" w14:textId="77777777" w:rsidR="00344225" w:rsidRPr="00533E38" w:rsidRDefault="00344225" w:rsidP="00344225">
      <w:pPr>
        <w:rPr>
          <w:rFonts w:hint="eastAsia"/>
          <w:b/>
          <w:bCs/>
          <w:sz w:val="24"/>
        </w:rPr>
      </w:pPr>
      <w:r w:rsidRPr="00533E38">
        <w:rPr>
          <w:rFonts w:hint="eastAsia"/>
          <w:b/>
          <w:bCs/>
          <w:sz w:val="24"/>
        </w:rPr>
        <w:t>1. 结论</w:t>
      </w:r>
    </w:p>
    <w:p w14:paraId="70D590F3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2024年校园招聘面临毕业生规模再创新高的挑战，但IT/互联网等行业需求旺盛，为毕业生提供了较多就业机会。</w:t>
      </w:r>
    </w:p>
    <w:p w14:paraId="4C26ADAB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毕业生求职目标明确，更加关注企业前景和个人发展，对稳定性及安全感的需求上升。</w:t>
      </w:r>
    </w:p>
    <w:p w14:paraId="02E14879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rFonts w:hint="eastAsia"/>
          <w:sz w:val="24"/>
        </w:rPr>
        <w:t>央/国企和公职类岗位成为毕业生首选，但IT、通信等行业依然保持强劲吸引力。</w:t>
      </w:r>
    </w:p>
    <w:p w14:paraId="17A60B26" w14:textId="77777777" w:rsidR="00344225" w:rsidRPr="00533E38" w:rsidRDefault="00344225" w:rsidP="00344225">
      <w:pPr>
        <w:rPr>
          <w:rFonts w:hint="eastAsia"/>
          <w:b/>
          <w:bCs/>
          <w:sz w:val="24"/>
        </w:rPr>
      </w:pPr>
      <w:r w:rsidRPr="00533E38">
        <w:rPr>
          <w:rFonts w:hint="eastAsia"/>
          <w:b/>
          <w:bCs/>
          <w:sz w:val="24"/>
        </w:rPr>
        <w:t>2. 展望</w:t>
      </w:r>
    </w:p>
    <w:p w14:paraId="54A0494C" w14:textId="77777777" w:rsidR="00344225" w:rsidRDefault="00344225" w:rsidP="00344225">
      <w:pPr>
        <w:rPr>
          <w:sz w:val="24"/>
        </w:rPr>
      </w:pPr>
      <w:r w:rsidRPr="00344225">
        <w:rPr>
          <w:rFonts w:hint="eastAsia"/>
          <w:sz w:val="24"/>
        </w:rPr>
        <w:t>招聘企业需要采取多样化的招聘策略，利用AI技术</w:t>
      </w:r>
      <w:r w:rsidRPr="00344225">
        <w:rPr>
          <w:sz w:val="24"/>
        </w:rPr>
        <w:t>提高招聘效率与精准度，同时加强品牌建设和企业文化宣传，以吸引和留住优秀人才。</w:t>
      </w:r>
    </w:p>
    <w:p w14:paraId="2428CF90" w14:textId="77777777" w:rsidR="00344225" w:rsidRPr="00344225" w:rsidRDefault="00344225" w:rsidP="00344225">
      <w:pPr>
        <w:numPr>
          <w:ilvl w:val="0"/>
          <w:numId w:val="7"/>
        </w:numPr>
        <w:rPr>
          <w:rFonts w:hint="eastAsia"/>
          <w:sz w:val="24"/>
        </w:rPr>
      </w:pPr>
      <w:r w:rsidRPr="00344225">
        <w:rPr>
          <w:sz w:val="24"/>
        </w:rPr>
        <w:t>高校应加强与企业的合作，建立校企联合培养机制，提升学生的实践能力和职业素养，使毕业生更好地适应市场需求。同时，高校还应加强就业指导服务，帮助学生明确职业目标，提升求职竞争力。</w:t>
      </w:r>
    </w:p>
    <w:p w14:paraId="4CAF90D1" w14:textId="77777777" w:rsidR="00344225" w:rsidRPr="00344225" w:rsidRDefault="00344225" w:rsidP="00344225">
      <w:pPr>
        <w:numPr>
          <w:ilvl w:val="0"/>
          <w:numId w:val="7"/>
        </w:numPr>
        <w:rPr>
          <w:rFonts w:hint="eastAsia"/>
          <w:sz w:val="24"/>
        </w:rPr>
      </w:pPr>
      <w:r w:rsidRPr="00344225">
        <w:rPr>
          <w:sz w:val="24"/>
        </w:rPr>
        <w:t>毕业生应密切关注行业动态，了解市场需求，不断提升自己的专业技能和综合素质。同时，应保持积极的心态，灵活调整求职策略，抓住每一个机会，实现自己的职业梦想。</w:t>
      </w:r>
    </w:p>
    <w:p w14:paraId="06538309" w14:textId="77777777" w:rsidR="00344225" w:rsidRDefault="00344225" w:rsidP="00344225">
      <w:pPr>
        <w:rPr>
          <w:b/>
          <w:bCs/>
          <w:sz w:val="24"/>
        </w:rPr>
      </w:pPr>
      <w:r w:rsidRPr="00344225">
        <w:rPr>
          <w:b/>
          <w:bCs/>
          <w:sz w:val="24"/>
        </w:rPr>
        <w:t>图表5：AI技术在招聘流程中的应用</w:t>
      </w:r>
    </w:p>
    <w:tbl>
      <w:tblPr>
        <w:tblStyle w:val="af"/>
        <w:tblW w:w="9779" w:type="dxa"/>
        <w:tblLook w:val="04A0" w:firstRow="1" w:lastRow="0" w:firstColumn="1" w:lastColumn="0" w:noHBand="0" w:noVBand="1"/>
      </w:tblPr>
      <w:tblGrid>
        <w:gridCol w:w="3524"/>
        <w:gridCol w:w="6255"/>
      </w:tblGrid>
      <w:tr w:rsidR="00533E38" w14:paraId="1551A999" w14:textId="77777777" w:rsidTr="00533E38">
        <w:trPr>
          <w:trHeight w:val="518"/>
        </w:trPr>
        <w:tc>
          <w:tcPr>
            <w:tcW w:w="0" w:type="auto"/>
            <w:shd w:val="clear" w:color="auto" w:fill="45B0E1" w:themeFill="accent1" w:themeFillTint="99"/>
            <w:vAlign w:val="center"/>
          </w:tcPr>
          <w:p w14:paraId="45932BAD" w14:textId="42A7A371" w:rsidR="00533E38" w:rsidRPr="00533E38" w:rsidRDefault="00533E38" w:rsidP="00533E3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8B18D9">
              <w:rPr>
                <w:rFonts w:hint="eastAsia"/>
              </w:rPr>
              <w:t>招聘环节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39FF61A4" w14:textId="13FD5E27" w:rsidR="00533E38" w:rsidRPr="00533E38" w:rsidRDefault="00533E38" w:rsidP="00533E3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8B18D9">
              <w:rPr>
                <w:rFonts w:hint="eastAsia"/>
              </w:rPr>
              <w:t>AI技术应用占比（%）</w:t>
            </w:r>
          </w:p>
        </w:tc>
      </w:tr>
      <w:tr w:rsidR="00533E38" w14:paraId="63D2B59C" w14:textId="77777777" w:rsidTr="00533E38">
        <w:trPr>
          <w:trHeight w:val="545"/>
        </w:trPr>
        <w:tc>
          <w:tcPr>
            <w:tcW w:w="0" w:type="auto"/>
            <w:shd w:val="clear" w:color="auto" w:fill="FDFDFE"/>
            <w:vAlign w:val="center"/>
          </w:tcPr>
          <w:p w14:paraId="78E3FDF6" w14:textId="166B1B00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8B18D9">
              <w:rPr>
                <w:rFonts w:hint="eastAsia"/>
              </w:rPr>
              <w:t>简历筛选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5D92CD16" w14:textId="25943A21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8B18D9">
              <w:rPr>
                <w:rFonts w:hint="eastAsia"/>
              </w:rPr>
              <w:t>58.2</w:t>
            </w:r>
          </w:p>
        </w:tc>
      </w:tr>
      <w:tr w:rsidR="00533E38" w14:paraId="258EFB67" w14:textId="77777777" w:rsidTr="00533E38">
        <w:trPr>
          <w:trHeight w:val="518"/>
        </w:trPr>
        <w:tc>
          <w:tcPr>
            <w:tcW w:w="0" w:type="auto"/>
            <w:shd w:val="clear" w:color="auto" w:fill="FDFDFE"/>
            <w:vAlign w:val="center"/>
          </w:tcPr>
          <w:p w14:paraId="258DFBBD" w14:textId="481EC089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8B18D9">
              <w:rPr>
                <w:rFonts w:hint="eastAsia"/>
              </w:rPr>
              <w:t>初步面试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52FF41DF" w14:textId="00219D3E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8B18D9">
              <w:rPr>
                <w:rFonts w:hint="eastAsia"/>
              </w:rPr>
              <w:t>35.6</w:t>
            </w:r>
          </w:p>
        </w:tc>
      </w:tr>
      <w:tr w:rsidR="00533E38" w14:paraId="75BECA26" w14:textId="77777777" w:rsidTr="00533E38">
        <w:trPr>
          <w:trHeight w:val="545"/>
        </w:trPr>
        <w:tc>
          <w:tcPr>
            <w:tcW w:w="0" w:type="auto"/>
            <w:shd w:val="clear" w:color="auto" w:fill="FDFDFE"/>
            <w:vAlign w:val="center"/>
          </w:tcPr>
          <w:p w14:paraId="794F6DC4" w14:textId="43C0A009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8B18D9">
              <w:rPr>
                <w:rFonts w:hint="eastAsia"/>
              </w:rPr>
              <w:t>面试评估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7732DFC0" w14:textId="540F207F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8B18D9">
              <w:rPr>
                <w:rFonts w:hint="eastAsia"/>
              </w:rPr>
              <w:t>44.2</w:t>
            </w:r>
          </w:p>
        </w:tc>
      </w:tr>
      <w:tr w:rsidR="00533E38" w14:paraId="6410155F" w14:textId="77777777" w:rsidTr="00533E38">
        <w:trPr>
          <w:trHeight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DFE"/>
            <w:vAlign w:val="center"/>
          </w:tcPr>
          <w:p w14:paraId="335E0852" w14:textId="3DF1CB5E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8B18D9">
              <w:rPr>
                <w:rFonts w:hint="eastAsia"/>
              </w:rPr>
              <w:t>候选人匹配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3971F6A6" w14:textId="0FD65E72" w:rsidR="00533E38" w:rsidRDefault="00533E38" w:rsidP="00533E38">
            <w:pPr>
              <w:jc w:val="center"/>
              <w:rPr>
                <w:rFonts w:hint="eastAsia"/>
                <w:sz w:val="24"/>
              </w:rPr>
            </w:pPr>
            <w:r w:rsidRPr="008B18D9">
              <w:rPr>
                <w:rFonts w:hint="eastAsia"/>
              </w:rPr>
              <w:t>41.5</w:t>
            </w:r>
          </w:p>
        </w:tc>
      </w:tr>
    </w:tbl>
    <w:p w14:paraId="46F90EEC" w14:textId="77777777" w:rsidR="009C5C44" w:rsidRDefault="009C5C44" w:rsidP="00344225">
      <w:pPr>
        <w:rPr>
          <w:sz w:val="24"/>
        </w:rPr>
      </w:pPr>
    </w:p>
    <w:p w14:paraId="615B2AEE" w14:textId="48E2FC62" w:rsidR="00344225" w:rsidRDefault="00344225" w:rsidP="00344225">
      <w:pPr>
        <w:rPr>
          <w:sz w:val="24"/>
        </w:rPr>
      </w:pPr>
      <w:r w:rsidRPr="00344225">
        <w:rPr>
          <w:sz w:val="24"/>
        </w:rPr>
        <w:lastRenderedPageBreak/>
        <w:t>此图表显示，AI技术在招聘流程中的多个环节均得到了广泛应用，特别是在简历筛选和面试评估方面，其应用占比均超过了40%。这表明，AI技术已成为现代招聘流程中不可或缺的一部分，能够显著提高招聘效率和准确性。</w:t>
      </w:r>
    </w:p>
    <w:p w14:paraId="018AE0AE" w14:textId="77777777" w:rsidR="00344225" w:rsidRDefault="00344225" w:rsidP="00344225">
      <w:pPr>
        <w:rPr>
          <w:b/>
          <w:bCs/>
          <w:sz w:val="24"/>
        </w:rPr>
      </w:pPr>
      <w:r w:rsidRPr="00344225">
        <w:rPr>
          <w:b/>
          <w:bCs/>
          <w:sz w:val="24"/>
        </w:rPr>
        <w:t>图表6：毕业生期望薪资水平</w:t>
      </w:r>
    </w:p>
    <w:tbl>
      <w:tblPr>
        <w:tblStyle w:val="af"/>
        <w:tblW w:w="9779" w:type="dxa"/>
        <w:tblLook w:val="04A0" w:firstRow="1" w:lastRow="0" w:firstColumn="1" w:lastColumn="0" w:noHBand="0" w:noVBand="1"/>
      </w:tblPr>
      <w:tblGrid>
        <w:gridCol w:w="6073"/>
        <w:gridCol w:w="3706"/>
      </w:tblGrid>
      <w:tr w:rsidR="009C5C44" w14:paraId="6BC1E88C" w14:textId="77777777" w:rsidTr="009C5C44">
        <w:trPr>
          <w:trHeight w:val="518"/>
        </w:trPr>
        <w:tc>
          <w:tcPr>
            <w:tcW w:w="0" w:type="auto"/>
            <w:shd w:val="clear" w:color="auto" w:fill="45B0E1" w:themeFill="accent1" w:themeFillTint="99"/>
            <w:vAlign w:val="center"/>
          </w:tcPr>
          <w:p w14:paraId="65C5E54C" w14:textId="442ADB04" w:rsidR="009C5C44" w:rsidRPr="00533E38" w:rsidRDefault="009C5C44" w:rsidP="009C5C44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12636">
              <w:rPr>
                <w:rFonts w:hint="eastAsia"/>
              </w:rPr>
              <w:t>薪资范围（月薪）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73FA7E08" w14:textId="7AFD58F3" w:rsidR="009C5C44" w:rsidRPr="00533E38" w:rsidRDefault="009C5C44" w:rsidP="009C5C44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12636">
              <w:rPr>
                <w:rFonts w:hint="eastAsia"/>
              </w:rPr>
              <w:t>占比（%）</w:t>
            </w:r>
          </w:p>
        </w:tc>
      </w:tr>
      <w:tr w:rsidR="009C5C44" w14:paraId="21576FFD" w14:textId="77777777" w:rsidTr="009C5C44">
        <w:trPr>
          <w:trHeight w:val="545"/>
        </w:trPr>
        <w:tc>
          <w:tcPr>
            <w:tcW w:w="0" w:type="auto"/>
            <w:shd w:val="clear" w:color="auto" w:fill="FDFDFE"/>
            <w:vAlign w:val="center"/>
          </w:tcPr>
          <w:p w14:paraId="09033594" w14:textId="16770600" w:rsidR="009C5C44" w:rsidRDefault="009C5C44" w:rsidP="009C5C44">
            <w:pPr>
              <w:jc w:val="center"/>
              <w:rPr>
                <w:rFonts w:hint="eastAsia"/>
                <w:sz w:val="24"/>
              </w:rPr>
            </w:pPr>
            <w:r w:rsidRPr="00E12636">
              <w:rPr>
                <w:rFonts w:hint="eastAsia"/>
              </w:rPr>
              <w:t>5000元以下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5B2B25D6" w14:textId="4F5229EE" w:rsidR="009C5C44" w:rsidRDefault="009C5C44" w:rsidP="009C5C44">
            <w:pPr>
              <w:jc w:val="center"/>
              <w:rPr>
                <w:rFonts w:hint="eastAsia"/>
                <w:sz w:val="24"/>
              </w:rPr>
            </w:pPr>
            <w:r w:rsidRPr="00E12636">
              <w:rPr>
                <w:rFonts w:hint="eastAsia"/>
              </w:rPr>
              <w:t>5.2</w:t>
            </w:r>
          </w:p>
        </w:tc>
      </w:tr>
      <w:tr w:rsidR="009C5C44" w14:paraId="5E3A9706" w14:textId="77777777" w:rsidTr="009C5C44">
        <w:trPr>
          <w:trHeight w:val="518"/>
        </w:trPr>
        <w:tc>
          <w:tcPr>
            <w:tcW w:w="0" w:type="auto"/>
            <w:shd w:val="clear" w:color="auto" w:fill="FDFDFE"/>
            <w:vAlign w:val="center"/>
          </w:tcPr>
          <w:p w14:paraId="3270104E" w14:textId="36E67755" w:rsidR="009C5C44" w:rsidRDefault="009C5C44" w:rsidP="009C5C44">
            <w:pPr>
              <w:jc w:val="center"/>
              <w:rPr>
                <w:rFonts w:hint="eastAsia"/>
                <w:sz w:val="24"/>
              </w:rPr>
            </w:pPr>
            <w:r w:rsidRPr="00E12636">
              <w:rPr>
                <w:rFonts w:hint="eastAsia"/>
              </w:rPr>
              <w:t>5000-8000元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102E608C" w14:textId="4AFC00B4" w:rsidR="009C5C44" w:rsidRDefault="009C5C44" w:rsidP="009C5C44">
            <w:pPr>
              <w:jc w:val="center"/>
              <w:rPr>
                <w:rFonts w:hint="eastAsia"/>
                <w:sz w:val="24"/>
              </w:rPr>
            </w:pPr>
            <w:r w:rsidRPr="00E12636">
              <w:rPr>
                <w:rFonts w:hint="eastAsia"/>
              </w:rPr>
              <w:t>23.6</w:t>
            </w:r>
          </w:p>
        </w:tc>
      </w:tr>
      <w:tr w:rsidR="009C5C44" w14:paraId="43FB8ACD" w14:textId="77777777" w:rsidTr="009C5C44">
        <w:trPr>
          <w:trHeight w:val="545"/>
        </w:trPr>
        <w:tc>
          <w:tcPr>
            <w:tcW w:w="0" w:type="auto"/>
            <w:shd w:val="clear" w:color="auto" w:fill="FDFDFE"/>
            <w:vAlign w:val="center"/>
          </w:tcPr>
          <w:p w14:paraId="08C0BBEA" w14:textId="4DDDCE8E" w:rsidR="009C5C44" w:rsidRDefault="009C5C44" w:rsidP="009C5C44">
            <w:pPr>
              <w:jc w:val="center"/>
              <w:rPr>
                <w:rFonts w:hint="eastAsia"/>
                <w:sz w:val="24"/>
              </w:rPr>
            </w:pPr>
            <w:r w:rsidRPr="00E12636">
              <w:rPr>
                <w:rFonts w:hint="eastAsia"/>
              </w:rPr>
              <w:t>8000-12000元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64F5C7B6" w14:textId="1BEB3630" w:rsidR="009C5C44" w:rsidRDefault="009C5C44" w:rsidP="009C5C44">
            <w:pPr>
              <w:jc w:val="center"/>
              <w:rPr>
                <w:rFonts w:hint="eastAsia"/>
                <w:sz w:val="24"/>
              </w:rPr>
            </w:pPr>
            <w:r w:rsidRPr="00E12636">
              <w:rPr>
                <w:rFonts w:hint="eastAsia"/>
              </w:rPr>
              <w:t>40.5</w:t>
            </w:r>
          </w:p>
        </w:tc>
      </w:tr>
      <w:tr w:rsidR="009C5C44" w14:paraId="3345E090" w14:textId="77777777" w:rsidTr="009C5C44">
        <w:trPr>
          <w:trHeight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DFE"/>
            <w:vAlign w:val="center"/>
          </w:tcPr>
          <w:p w14:paraId="2408B3B7" w14:textId="44DAF981" w:rsidR="009C5C44" w:rsidRDefault="009C5C44" w:rsidP="009C5C44">
            <w:pPr>
              <w:jc w:val="center"/>
              <w:rPr>
                <w:rFonts w:hint="eastAsia"/>
                <w:sz w:val="24"/>
              </w:rPr>
            </w:pPr>
            <w:r w:rsidRPr="00E12636">
              <w:rPr>
                <w:rFonts w:hint="eastAsia"/>
              </w:rPr>
              <w:t>12000-20000元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7CE333C4" w14:textId="3C1BD153" w:rsidR="009C5C44" w:rsidRDefault="009C5C44" w:rsidP="009C5C44">
            <w:pPr>
              <w:jc w:val="center"/>
              <w:rPr>
                <w:rFonts w:hint="eastAsia"/>
                <w:sz w:val="24"/>
              </w:rPr>
            </w:pPr>
            <w:r w:rsidRPr="00E12636">
              <w:rPr>
                <w:rFonts w:hint="eastAsia"/>
              </w:rPr>
              <w:t>22.4</w:t>
            </w:r>
          </w:p>
        </w:tc>
      </w:tr>
      <w:tr w:rsidR="009C5C44" w14:paraId="2BDECEAE" w14:textId="77777777" w:rsidTr="009C5C44">
        <w:trPr>
          <w:trHeight w:val="5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DFE"/>
            <w:vAlign w:val="center"/>
          </w:tcPr>
          <w:p w14:paraId="7C0CEBF7" w14:textId="123A2A1B" w:rsidR="009C5C44" w:rsidRPr="008B18D9" w:rsidRDefault="009C5C44" w:rsidP="009C5C44">
            <w:pPr>
              <w:jc w:val="center"/>
              <w:rPr>
                <w:rFonts w:hint="eastAsia"/>
              </w:rPr>
            </w:pPr>
            <w:r w:rsidRPr="00E12636">
              <w:rPr>
                <w:rFonts w:hint="eastAsia"/>
              </w:rPr>
              <w:t>20000元以上</w:t>
            </w:r>
          </w:p>
        </w:tc>
        <w:tc>
          <w:tcPr>
            <w:tcW w:w="0" w:type="auto"/>
            <w:shd w:val="clear" w:color="auto" w:fill="FDFDFE"/>
            <w:vAlign w:val="center"/>
          </w:tcPr>
          <w:p w14:paraId="16C55872" w14:textId="5C6E1630" w:rsidR="009C5C44" w:rsidRPr="008B18D9" w:rsidRDefault="009C5C44" w:rsidP="009C5C44">
            <w:pPr>
              <w:jc w:val="center"/>
              <w:rPr>
                <w:rFonts w:hint="eastAsia"/>
              </w:rPr>
            </w:pPr>
            <w:r w:rsidRPr="00E12636">
              <w:rPr>
                <w:rFonts w:hint="eastAsia"/>
              </w:rPr>
              <w:t>8.3</w:t>
            </w:r>
          </w:p>
        </w:tc>
      </w:tr>
    </w:tbl>
    <w:p w14:paraId="30C12631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sz w:val="24"/>
        </w:rPr>
        <w:t>此图表反映了毕业生对于薪资水平的期望。大部分毕业生期望的月薪集中在8000-12000元之间，占比最高，达到40.5%。这为企业制定薪资政策提供了重要参考，有助于企业吸引和留住优秀人才。</w:t>
      </w:r>
    </w:p>
    <w:p w14:paraId="7CE2F166" w14:textId="77777777" w:rsidR="00344225" w:rsidRPr="00344225" w:rsidRDefault="00344225" w:rsidP="00344225">
      <w:pPr>
        <w:rPr>
          <w:rFonts w:hint="eastAsia"/>
          <w:b/>
          <w:bCs/>
          <w:sz w:val="24"/>
        </w:rPr>
      </w:pPr>
      <w:r w:rsidRPr="00344225">
        <w:rPr>
          <w:b/>
          <w:bCs/>
          <w:sz w:val="24"/>
        </w:rPr>
        <w:t>五、总结与建议</w:t>
      </w:r>
    </w:p>
    <w:p w14:paraId="2953E0D3" w14:textId="77777777" w:rsidR="00344225" w:rsidRPr="00344225" w:rsidRDefault="00344225" w:rsidP="00344225">
      <w:pPr>
        <w:rPr>
          <w:rFonts w:hint="eastAsia"/>
          <w:sz w:val="24"/>
        </w:rPr>
      </w:pPr>
      <w:r w:rsidRPr="00344225">
        <w:rPr>
          <w:sz w:val="24"/>
        </w:rPr>
        <w:t>综上所述，2024年校园招聘面临着诸多挑战与机遇。招聘企业需紧跟市场需求变化，调整招聘策略，加强品牌建设和企业文化建设；高校应加强与企业的合作，提升学生的实践能力和职业素养；毕业生则需明确职业目标，提升求职竞争力。通过各方的共同努力，相信能够实现毕业生与企业的双赢局面，推动社会经济的持续健康发展。</w:t>
      </w:r>
    </w:p>
    <w:p w14:paraId="15F20C9F" w14:textId="7EBF6DC9" w:rsidR="00B72286" w:rsidRPr="00344225" w:rsidRDefault="00B72286" w:rsidP="00344225">
      <w:pPr>
        <w:rPr>
          <w:rFonts w:hint="eastAsia"/>
        </w:rPr>
      </w:pPr>
    </w:p>
    <w:sectPr w:rsidR="00B72286" w:rsidRPr="00344225" w:rsidSect="00CD4A3F">
      <w:headerReference w:type="default" r:id="rId9"/>
      <w:pgSz w:w="11906" w:h="16838"/>
      <w:pgMar w:top="993" w:right="849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F123" w14:textId="77777777" w:rsidR="006252FE" w:rsidRDefault="006252FE" w:rsidP="00533E3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F2517A7" w14:textId="77777777" w:rsidR="006252FE" w:rsidRDefault="006252FE" w:rsidP="00533E3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FangSC-Medi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B741E" w14:textId="77777777" w:rsidR="006252FE" w:rsidRDefault="006252FE" w:rsidP="00533E3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275D925" w14:textId="77777777" w:rsidR="006252FE" w:rsidRDefault="006252FE" w:rsidP="00533E3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2A727" w14:textId="63693CB5" w:rsidR="00533E38" w:rsidRDefault="00533E38" w:rsidP="00533E38">
    <w:pPr>
      <w:pStyle w:val="af0"/>
      <w:jc w:val="left"/>
      <w:rPr>
        <w:rFonts w:hint="eastAsia"/>
      </w:rPr>
    </w:pPr>
    <w:r>
      <w:rPr>
        <w:rFonts w:hint="eastAsia"/>
        <w:noProof/>
      </w:rPr>
      <w:drawing>
        <wp:inline distT="0" distB="0" distL="0" distR="0" wp14:anchorId="574AC990" wp14:editId="61BEF904">
          <wp:extent cx="2254102" cy="504825"/>
          <wp:effectExtent l="0" t="0" r="0" b="0"/>
          <wp:docPr id="2020943526" name="图片 1" descr="文本, 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872420" name="图片 1" descr="文本, 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637" cy="505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2C7B"/>
    <w:multiLevelType w:val="multilevel"/>
    <w:tmpl w:val="46E4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C4B36"/>
    <w:multiLevelType w:val="multilevel"/>
    <w:tmpl w:val="3B46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16169"/>
    <w:multiLevelType w:val="multilevel"/>
    <w:tmpl w:val="791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F0945"/>
    <w:multiLevelType w:val="multilevel"/>
    <w:tmpl w:val="B53E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F63BB"/>
    <w:multiLevelType w:val="multilevel"/>
    <w:tmpl w:val="A9E6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6627D"/>
    <w:multiLevelType w:val="multilevel"/>
    <w:tmpl w:val="416C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77164"/>
    <w:multiLevelType w:val="multilevel"/>
    <w:tmpl w:val="AAE2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799496">
    <w:abstractNumId w:val="6"/>
  </w:num>
  <w:num w:numId="2" w16cid:durableId="1238898796">
    <w:abstractNumId w:val="1"/>
  </w:num>
  <w:num w:numId="3" w16cid:durableId="313145952">
    <w:abstractNumId w:val="2"/>
  </w:num>
  <w:num w:numId="4" w16cid:durableId="1020427346">
    <w:abstractNumId w:val="4"/>
  </w:num>
  <w:num w:numId="5" w16cid:durableId="1889492057">
    <w:abstractNumId w:val="5"/>
  </w:num>
  <w:num w:numId="6" w16cid:durableId="1814525256">
    <w:abstractNumId w:val="3"/>
  </w:num>
  <w:num w:numId="7" w16cid:durableId="130269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86"/>
    <w:rsid w:val="0006275B"/>
    <w:rsid w:val="00176D88"/>
    <w:rsid w:val="001A42B7"/>
    <w:rsid w:val="00344225"/>
    <w:rsid w:val="00533E38"/>
    <w:rsid w:val="006252FE"/>
    <w:rsid w:val="0069103E"/>
    <w:rsid w:val="00774E69"/>
    <w:rsid w:val="00984D86"/>
    <w:rsid w:val="009C5C44"/>
    <w:rsid w:val="00A521DC"/>
    <w:rsid w:val="00B72286"/>
    <w:rsid w:val="00CD4A3F"/>
    <w:rsid w:val="00DA4848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88C9D"/>
  <w15:chartTrackingRefBased/>
  <w15:docId w15:val="{8650A017-C1A2-49A6-8903-D9FD18D4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3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8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8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7228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344225"/>
    <w:rPr>
      <w:rFonts w:ascii="Times New Roman" w:hAnsi="Times New Roman" w:cs="Times New Roman"/>
      <w:sz w:val="24"/>
    </w:rPr>
  </w:style>
  <w:style w:type="table" w:styleId="af">
    <w:name w:val="Table Grid"/>
    <w:basedOn w:val="a1"/>
    <w:uiPriority w:val="39"/>
    <w:rsid w:val="0006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List Table 4 Accent 4"/>
    <w:basedOn w:val="a1"/>
    <w:uiPriority w:val="49"/>
    <w:rsid w:val="0006275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4-40">
    <w:name w:val="Grid Table 4 Accent 4"/>
    <w:basedOn w:val="a1"/>
    <w:uiPriority w:val="49"/>
    <w:rsid w:val="0006275B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4-2">
    <w:name w:val="Grid Table 4 Accent 2"/>
    <w:basedOn w:val="a1"/>
    <w:uiPriority w:val="49"/>
    <w:rsid w:val="0006275B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af0">
    <w:name w:val="header"/>
    <w:basedOn w:val="a"/>
    <w:link w:val="af1"/>
    <w:uiPriority w:val="99"/>
    <w:unhideWhenUsed/>
    <w:rsid w:val="00533E3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533E38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33E3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533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24EF-C9F0-4AD6-80CB-F31A2836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2024-07-25T07:26:00Z</dcterms:created>
  <dcterms:modified xsi:type="dcterms:W3CDTF">2024-07-26T03:04:00Z</dcterms:modified>
</cp:coreProperties>
</file>